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E-001357/2021</w:t>
      </w:r>
    </w:p>
    <w:p>
      <w:pPr>
        <w:pStyle w:val="Arial10"/>
      </w:pPr>
      <w:r>
        <w:rPr>
          <w:rStyle w:val="Bold"/>
        </w:rPr>
        <w:t>to the Commission</w:t>
      </w:r>
    </w:p>
    <w:p>
      <w:pPr>
        <w:pStyle w:val="Arial10"/>
      </w:pPr>
      <w:r>
        <w:t>Rule 138</w:t>
      </w:r>
    </w:p>
    <w:p>
      <w:pPr>
        <w:pStyle w:val="Arial10After10"/>
      </w:pPr>
      <w:r>
        <w:rPr>
          <w:rStyle w:val="Bold"/>
        </w:rPr>
        <w:t>Konstantinos Arvanitis</w:t>
      </w:r>
      <w:r>
        <w:t xml:space="preserve"> (</w:t>
      </w:r>
      <w:r>
        <w:t>The Left</w:t>
      </w:r>
      <w:r>
        <w:t xml:space="preserve">), </w:t>
      </w:r>
      <w:r>
        <w:rPr>
          <w:rStyle w:val="Bold"/>
        </w:rPr>
        <w:t>Juan Fernando López Aguilar</w:t>
      </w:r>
      <w:r>
        <w:t xml:space="preserve"> (</w:t>
      </w:r>
      <w:r>
        <w:t>S&amp;D</w:t>
      </w:r>
      <w:r>
        <w:t xml:space="preserve">), </w:t>
      </w:r>
      <w:r>
        <w:rPr>
          <w:rStyle w:val="Bold"/>
        </w:rPr>
        <w:t>Dimitrios Papadimoulis</w:t>
      </w:r>
      <w:r>
        <w:t xml:space="preserve"> (</w:t>
      </w:r>
      <w:r>
        <w:t>The Left</w:t>
      </w:r>
      <w:r>
        <w:t xml:space="preserve">), </w:t>
      </w:r>
      <w:r>
        <w:rPr>
          <w:rStyle w:val="Bold"/>
        </w:rPr>
        <w:t>Petros Kokkalis</w:t>
      </w:r>
      <w:r>
        <w:t xml:space="preserve"> (</w:t>
      </w:r>
      <w:r>
        <w:t>The Left</w:t>
      </w:r>
      <w:r>
        <w:t xml:space="preserve">), </w:t>
      </w:r>
      <w:r>
        <w:rPr>
          <w:rStyle w:val="Bold"/>
        </w:rPr>
        <w:t>Elena Kountoura</w:t>
      </w:r>
      <w:r>
        <w:t xml:space="preserve"> (</w:t>
      </w:r>
      <w:r>
        <w:t>The Left</w:t>
      </w:r>
      <w:r>
        <w:t xml:space="preserve">), </w:t>
      </w:r>
      <w:r>
        <w:rPr>
          <w:rStyle w:val="Bold"/>
        </w:rPr>
        <w:t>Stelios Kouloglou</w:t>
      </w:r>
      <w:r>
        <w:t xml:space="preserve"> (</w:t>
      </w:r>
      <w:r>
        <w:t>The Left</w:t>
      </w:r>
      <w:r>
        <w:t xml:space="preserve">), </w:t>
      </w:r>
      <w:r>
        <w:rPr>
          <w:rStyle w:val="Bold"/>
        </w:rPr>
        <w:t>Pernando Barrena Arza</w:t>
      </w:r>
      <w:r>
        <w:t xml:space="preserve"> (</w:t>
      </w:r>
      <w:r>
        <w:t>The Left</w:t>
      </w:r>
      <w:r>
        <w:t xml:space="preserve">), </w:t>
      </w:r>
      <w:r>
        <w:rPr>
          <w:rStyle w:val="Bold"/>
        </w:rPr>
        <w:t>Izaskun Bilbao Barandica</w:t>
      </w:r>
      <w:r>
        <w:t xml:space="preserve"> (</w:t>
      </w:r>
      <w:r>
        <w:t>Renew</w:t>
      </w:r>
      <w:r>
        <w:t xml:space="preserve">), </w:t>
      </w:r>
      <w:r>
        <w:rPr>
          <w:rStyle w:val="Bold"/>
        </w:rPr>
        <w:t>Damien Carême</w:t>
      </w:r>
      <w:r>
        <w:t xml:space="preserve"> (</w:t>
      </w:r>
      <w:r>
        <w:t>Verts/ALE</w:t>
      </w:r>
      <w:r>
        <w:t xml:space="preserve">), </w:t>
      </w:r>
      <w:r>
        <w:rPr>
          <w:rStyle w:val="Bold"/>
        </w:rPr>
        <w:t>Clare Daly</w:t>
      </w:r>
      <w:r>
        <w:t xml:space="preserve"> (</w:t>
      </w:r>
      <w:r>
        <w:t>The Left</w:t>
      </w:r>
      <w:r>
        <w:t xml:space="preserve">), </w:t>
      </w:r>
      <w:r>
        <w:rPr>
          <w:rStyle w:val="Bold"/>
        </w:rPr>
        <w:t>Cornelia Ernst</w:t>
      </w:r>
      <w:r>
        <w:t xml:space="preserve"> (</w:t>
      </w:r>
      <w:r>
        <w:t>The Left</w:t>
      </w:r>
      <w:r>
        <w:t xml:space="preserve">), </w:t>
      </w:r>
      <w:r>
        <w:rPr>
          <w:rStyle w:val="Bold"/>
        </w:rPr>
        <w:t>Giorgos Georgiou</w:t>
      </w:r>
      <w:r>
        <w:t xml:space="preserve"> (</w:t>
      </w:r>
      <w:r>
        <w:t>The Left</w:t>
      </w:r>
      <w:r>
        <w:t xml:space="preserve">), </w:t>
      </w:r>
      <w:r>
        <w:rPr>
          <w:rStyle w:val="Bold"/>
        </w:rPr>
        <w:t>José Gusmão</w:t>
      </w:r>
      <w:r>
        <w:t xml:space="preserve"> (</w:t>
      </w:r>
      <w:r>
        <w:t>The Left</w:t>
      </w:r>
      <w:r>
        <w:t xml:space="preserve">), </w:t>
      </w:r>
      <w:r>
        <w:rPr>
          <w:rStyle w:val="Bold"/>
        </w:rPr>
        <w:t>Petra Kammerevert</w:t>
      </w:r>
      <w:r>
        <w:t xml:space="preserve"> (</w:t>
      </w:r>
      <w:r>
        <w:t>S&amp;D</w:t>
      </w:r>
      <w:r>
        <w:t xml:space="preserve">), </w:t>
      </w:r>
      <w:r>
        <w:rPr>
          <w:rStyle w:val="Bold"/>
        </w:rPr>
        <w:t>Niyazi Kizilyürek</w:t>
      </w:r>
      <w:r>
        <w:t xml:space="preserve"> (</w:t>
      </w:r>
      <w:r>
        <w:t>The Left</w:t>
      </w:r>
      <w:r>
        <w:t xml:space="preserve">), </w:t>
      </w:r>
      <w:r>
        <w:rPr>
          <w:rStyle w:val="Bold"/>
        </w:rPr>
        <w:t>Dietmar Köster</w:t>
      </w:r>
      <w:r>
        <w:t xml:space="preserve"> (</w:t>
      </w:r>
      <w:r>
        <w:t>S&amp;D</w:t>
      </w:r>
      <w:r>
        <w:t xml:space="preserve">), </w:t>
      </w:r>
      <w:r>
        <w:rPr>
          <w:rStyle w:val="Bold"/>
        </w:rPr>
        <w:t>Erik Marquardt</w:t>
      </w:r>
      <w:r>
        <w:t xml:space="preserve"> (</w:t>
      </w:r>
      <w:r>
        <w:t>Verts/ALE</w:t>
      </w:r>
      <w:r>
        <w:t xml:space="preserve">), </w:t>
      </w:r>
      <w:r>
        <w:rPr>
          <w:rStyle w:val="Bold"/>
        </w:rPr>
        <w:t>Marisa Matias</w:t>
      </w:r>
      <w:r>
        <w:t xml:space="preserve"> (</w:t>
      </w:r>
      <w:r>
        <w:t>The Left</w:t>
      </w:r>
      <w:r>
        <w:t xml:space="preserve">), </w:t>
      </w:r>
      <w:r>
        <w:rPr>
          <w:rStyle w:val="Bold"/>
        </w:rPr>
        <w:t>Karen Melchior</w:t>
      </w:r>
      <w:r>
        <w:t xml:space="preserve"> (</w:t>
      </w:r>
      <w:r>
        <w:t>Renew</w:t>
      </w:r>
      <w:r>
        <w:t xml:space="preserve">), </w:t>
      </w:r>
      <w:r>
        <w:rPr>
          <w:rStyle w:val="Bold"/>
        </w:rPr>
        <w:t>Alessandra Moretti</w:t>
      </w:r>
      <w:r>
        <w:t xml:space="preserve"> (</w:t>
      </w:r>
      <w:r>
        <w:t>S&amp;D</w:t>
      </w:r>
      <w:r>
        <w:t xml:space="preserve">), </w:t>
      </w:r>
      <w:r>
        <w:rPr>
          <w:rStyle w:val="Bold"/>
        </w:rPr>
        <w:t>Anne-Sophie Pelletier</w:t>
      </w:r>
      <w:r>
        <w:t xml:space="preserve"> (</w:t>
      </w:r>
      <w:r>
        <w:t>The Left</w:t>
      </w:r>
      <w:r>
        <w:t xml:space="preserve">), </w:t>
      </w:r>
      <w:r>
        <w:rPr>
          <w:rStyle w:val="Bold"/>
        </w:rPr>
        <w:t>Manuel Pizarro</w:t>
      </w:r>
      <w:r>
        <w:t xml:space="preserve"> (</w:t>
      </w:r>
      <w:r>
        <w:t>S&amp;D</w:t>
      </w:r>
      <w:r>
        <w:t xml:space="preserve">), </w:t>
      </w:r>
      <w:r>
        <w:rPr>
          <w:rStyle w:val="Bold"/>
        </w:rPr>
        <w:t>Eugenia Rodríguez Palop</w:t>
      </w:r>
      <w:r>
        <w:t xml:space="preserve"> (</w:t>
      </w:r>
      <w:r>
        <w:t>The Left</w:t>
      </w:r>
      <w:r>
        <w:t xml:space="preserve">), </w:t>
      </w:r>
      <w:r>
        <w:rPr>
          <w:rStyle w:val="Bold"/>
        </w:rPr>
        <w:t>Tineke Strik</w:t>
      </w:r>
      <w:r>
        <w:t xml:space="preserve"> (</w:t>
      </w:r>
      <w:r>
        <w:t>Verts/ALE</w:t>
      </w:r>
      <w:r>
        <w:t xml:space="preserve">), </w:t>
      </w:r>
      <w:r>
        <w:rPr>
          <w:rStyle w:val="Bold"/>
        </w:rPr>
        <w:t>Miguel Urbán Crespo</w:t>
      </w:r>
      <w:r>
        <w:t xml:space="preserve"> (</w:t>
      </w:r>
      <w:r>
        <w:t>The Left</w:t>
      </w:r>
      <w:r>
        <w:t xml:space="preserve">), </w:t>
      </w:r>
      <w:r>
        <w:rPr>
          <w:rStyle w:val="Bold"/>
        </w:rPr>
        <w:t>Idoia Villanueva Ruiz</w:t>
      </w:r>
      <w:r>
        <w:t xml:space="preserve"> (</w:t>
      </w:r>
      <w:r>
        <w:t>The Left</w:t>
      </w:r>
      <w:r>
        <w:t xml:space="preserve">), </w:t>
      </w:r>
      <w:r>
        <w:rPr>
          <w:rStyle w:val="Bold"/>
        </w:rPr>
        <w:t>Nikolaj Villumsen</w:t>
      </w:r>
      <w:r>
        <w:t xml:space="preserve"> (</w:t>
      </w:r>
      <w:r>
        <w:t>The Left</w:t>
      </w:r>
      <w:r>
        <w:t xml:space="preserve">), </w:t>
      </w:r>
      <w:r>
        <w:rPr>
          <w:rStyle w:val="Bold"/>
        </w:rPr>
        <w:t>Mick Wallace</w:t>
      </w:r>
      <w:r>
        <w:t xml:space="preserve"> (</w:t>
      </w:r>
      <w:r>
        <w:t>The Left</w:t>
      </w:r>
      <w:r>
        <w:t xml:space="preserve">), </w:t>
      </w:r>
      <w:r>
        <w:rPr>
          <w:rStyle w:val="Bold"/>
        </w:rPr>
        <w:t>Milan Brglez</w:t>
      </w:r>
      <w:r>
        <w:t xml:space="preserve"> (</w:t>
      </w:r>
      <w:r>
        <w:t>S&amp;D</w:t>
      </w:r>
      <w:r>
        <w:t>)</w:t>
      </w:r>
    </w:p>
    <w:p>
      <w:pPr>
        <w:pStyle w:val="Subject"/>
      </w:pPr>
      <w:r>
        <w:t>Subject</w:t>
      </w:r>
      <w:r>
        <w:t>:</w:t>
      </w:r>
      <w:r>
        <w:tab/>
      </w:r>
      <w:r>
        <w:t>Access of refugee children to education</w:t>
      </w:r>
    </w:p>
    <w:p>
      <w:pPr>
        <w:pStyle w:val="Body"/>
      </w:pPr>
      <w:r>
        <w:t>The Greek Government is practically excluding refugee and migrant children from formal education, especially those living in reception and identification centres (hotspots and camps). Information from people and organisations working in the field indicates that multiple obstacles are completely undermining these children’s access to the national education system, either in person (the traditional way) or through distance learning (during the pandemic). Two years ago, the number of such minors attending school was around 16 000. Last year the number plummeted to about 7 000, and is now estimated to be close to zero. This constitutes a violation of their fundamental right to education and is a clear act of discrimination against migrants and refugees.</w:t>
      </w:r>
    </w:p>
    <w:p>
      <w:pPr>
        <w:pStyle w:val="itemList"/>
      </w:pPr>
      <w:r>
        <w:t>1.</w:t>
      </w:r>
      <w:r>
        <w:tab/>
      </w:r>
      <w:r>
        <w:t>Can the Commission confirm the actual number of refugee and migrant children who do not have access to the national education system in Greece?</w:t>
      </w:r>
    </w:p>
    <w:p>
      <w:pPr>
        <w:pStyle w:val="itemList"/>
      </w:pPr>
      <w:r>
        <w:t>2.</w:t>
      </w:r>
      <w:r>
        <w:tab/>
      </w:r>
      <w:r>
        <w:t>Is this practice compatible with Article 2 of the Treaty on the Functioning of the European Union, Article 14 of the Charter of Fundamental Rights of the European Union, Article 28 of the UN Convention on the Rights of the Child, Article 2 of Protocol No 1 of the European Convention on Human Rights, Article 27 of Directive 2011/95/EU and Article 14 of Directive 2013/33/EU?</w:t>
      </w:r>
    </w:p>
    <w:p>
      <w:pPr>
        <w:pStyle w:val="itemList"/>
      </w:pPr>
      <w:r>
        <w:t>3.</w:t>
      </w:r>
      <w:r>
        <w:tab/>
      </w:r>
      <w:r>
        <w:t>How does the Commission plan to intervene to ensure that all children enjoy all the relevant fundamental rights in practice?</w:t>
      </w:r>
    </w:p>
    <w:p>
      <w:pPr>
        <w:pStyle w:val="Supporter"/>
      </w:pPr>
      <w:r>
        <w:rPr>
          <w:rStyle w:val="Bold"/>
        </w:rPr>
        <w:t>Supporter</w:t>
      </w:r>
      <w:r>
        <w:rPr>
          <w:rStyle w:val="FootnoteReference"/>
        </w:rPr>
        <w:footnoteReference w:id="0"/>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PE690.819v01-00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PE690.819v01-00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PE690.819v01-00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This question is supported by a Member other than the authors: Alexis Georgoulis (The Left)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20210628-105034-474122-575067</vt:lpwstr>
  </property>
</Properties>
</file>