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Question for written answer E-000946/2021</w:t>
      </w:r>
    </w:p>
    <w:p>
      <w:pPr>
        <w:pStyle w:val="Arial10"/>
      </w:pPr>
      <w:r>
        <w:rPr>
          <w:rStyle w:val="Bold"/>
        </w:rPr>
        <w:t>to the Commission</w:t>
      </w:r>
    </w:p>
    <w:p>
      <w:pPr>
        <w:pStyle w:val="Arial10"/>
      </w:pPr>
      <w:r>
        <w:t>Rule 138</w:t>
      </w:r>
    </w:p>
    <w:p>
      <w:pPr>
        <w:pStyle w:val="Arial10After10"/>
      </w:pPr>
      <w:r>
        <w:rPr>
          <w:rStyle w:val="Bold"/>
        </w:rPr>
        <w:t>Radka Maxová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Ondřej Kovařík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Markéta Gregorová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Miriam Lexmann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Juozas Olekas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Tomasz Frankowski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Luděk Niedermayer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Andrzej Halicki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Liudas Mažylis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Tomáš Zdechovský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Łukasz Kohut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Bronis Ropė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Ondřej Knotek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Tineke Strik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Nils Torvalds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Magdalena Adamowicz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Sophia in 't Veld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Robert Biedroń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Maria Arena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Krzysztof Hetman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Vlad-Marius Botoş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Rasa Juknevičienė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Ilana Cicurel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Erik Marquardt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Laurence Farreng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Anna Júlia Donáth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Michaela Šojdrová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Viola Von Cramon-Taubadel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Michael Bloss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Malik Azmani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Hildegard Bentele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Eugen Jurzyca</w:t>
      </w:r>
      <w:r>
        <w:t xml:space="preserve"> (</w:t>
      </w:r>
      <w:r>
        <w:t>ECR</w:t>
      </w:r>
      <w:r>
        <w:t>)</w:t>
      </w:r>
    </w:p>
    <w:p>
      <w:pPr>
        <w:pStyle w:val="Subject"/>
      </w:pPr>
      <w:r>
        <w:t>Subject</w:t>
      </w:r>
      <w:r>
        <w:t>:</w:t>
      </w:r>
      <w:r>
        <w:tab/>
      </w:r>
      <w:r>
        <w:t>Support for students from Belarus to study at universities in the EU</w:t>
      </w:r>
    </w:p>
    <w:p>
      <w:pPr>
        <w:pStyle w:val="Body"/>
      </w:pPr>
      <w:r>
        <w:t>In Belarus, thousands are struggling for democracy, as violent protests continue to rage. In a desperate attempt to curb the young protesters’ activities, Lukashenko called for those publicly supporting the protests to be dismissed from their studies and jobs.</w:t>
      </w:r>
    </w:p>
    <w:p>
      <w:pPr>
        <w:pStyle w:val="Body"/>
      </w:pPr>
      <w:r>
        <w:t>The EU needs to act fast. Those who fight for democratic values cannot be punished by stripping them of their right to education, and drafting them for military service.</w:t>
      </w:r>
    </w:p>
    <w:p>
      <w:pPr>
        <w:pStyle w:val="Body"/>
      </w:pPr>
      <w:r>
        <w:t>Therefore, we welcome the EU4Belarus programme pledging to contribute EUR 24 million to reinforcing resilience and empowering civil society in Belarus, of which EUR 8 million will go to scholarships and stipends for study in the EU.</w:t>
      </w:r>
    </w:p>
    <w:p>
      <w:pPr>
        <w:pStyle w:val="Body"/>
      </w:pPr>
      <w:r>
        <w:t>Unfortunately, the basis for the distribution of these funds is still unknown, so the money is still waiting to be allocated. Hence, we ask the following questions:</w:t>
      </w:r>
    </w:p>
    <w:p>
      <w:pPr>
        <w:pStyle w:val="itemList"/>
      </w:pPr>
      <w:r>
        <w:t>1.</w:t>
      </w:r>
      <w:r>
        <w:tab/>
      </w:r>
      <w:r>
        <w:t>When will this support be operationalised so that the students can access it and avoid reprisals?</w:t>
      </w:r>
    </w:p>
    <w:p>
      <w:pPr>
        <w:pStyle w:val="itemList"/>
      </w:pPr>
      <w:r>
        <w:t>2.</w:t>
      </w:r>
      <w:r>
        <w:tab/>
      </w:r>
      <w:r>
        <w:t>What will the distribution be based on? Will previous credible efforts to help persecuted Belarusian students be taken into account, e.g. as a condition for universities to be eligible for granting stipends?</w:t>
      </w:r>
    </w:p>
    <w:p>
      <w:pPr>
        <w:pStyle w:val="itemList"/>
      </w:pPr>
      <w:r>
        <w:t>3.</w:t>
      </w:r>
      <w:r>
        <w:tab/>
      </w:r>
      <w:r>
        <w:t>Will there also be flexibility to allow recipients to obtain support for language or preparatory studies?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PE689.237v01-00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PE689.237v01-00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PE689.237v01-00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answer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20210414-140016-020435-983678</vt:lpwstr>
  </property>
</Properties>
</file>